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2F22" w14:textId="77777777" w:rsidR="004249DD" w:rsidRPr="0049352C" w:rsidRDefault="004249DD" w:rsidP="00347CE7">
      <w:pPr>
        <w:overflowPunct/>
        <w:jc w:val="center"/>
        <w:textAlignment w:val="auto"/>
        <w:rPr>
          <w:rFonts w:eastAsiaTheme="minorEastAsia"/>
          <w:i/>
          <w:sz w:val="24"/>
          <w:szCs w:val="24"/>
        </w:rPr>
      </w:pPr>
      <w:r w:rsidRPr="0049352C">
        <w:rPr>
          <w:rFonts w:eastAsiaTheme="minorEastAsia"/>
          <w:i/>
          <w:sz w:val="24"/>
          <w:szCs w:val="24"/>
        </w:rPr>
        <w:t>Problèmes Energétiques Globaux – Module 1</w:t>
      </w:r>
    </w:p>
    <w:p w14:paraId="5B832CE7" w14:textId="77777777" w:rsidR="004249DD" w:rsidRPr="0049352C" w:rsidRDefault="004249DD" w:rsidP="00347CE7">
      <w:pPr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14:paraId="525E7601" w14:textId="77777777" w:rsidR="004249DD" w:rsidRPr="0049352C" w:rsidRDefault="004249DD" w:rsidP="00347CE7">
      <w:pPr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14:paraId="0CE1E746" w14:textId="2EB8C6A8" w:rsidR="004249DD" w:rsidRPr="0049352C" w:rsidRDefault="004249DD" w:rsidP="00347CE7">
      <w:pPr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49352C">
        <w:rPr>
          <w:rFonts w:eastAsiaTheme="minorEastAsia"/>
          <w:b/>
          <w:sz w:val="24"/>
          <w:szCs w:val="24"/>
        </w:rPr>
        <w:t>V</w:t>
      </w:r>
      <w:r w:rsidR="00613A0B" w:rsidRPr="0049352C">
        <w:rPr>
          <w:rFonts w:eastAsiaTheme="minorEastAsia"/>
          <w:b/>
          <w:sz w:val="24"/>
          <w:szCs w:val="24"/>
        </w:rPr>
        <w:t>8</w:t>
      </w:r>
      <w:r w:rsidRPr="0049352C">
        <w:rPr>
          <w:rFonts w:eastAsiaTheme="minorEastAsia"/>
          <w:b/>
          <w:sz w:val="24"/>
          <w:szCs w:val="24"/>
        </w:rPr>
        <w:t> :</w:t>
      </w:r>
    </w:p>
    <w:p w14:paraId="517212EA" w14:textId="2B9000AB" w:rsidR="004249DD" w:rsidRPr="0049352C" w:rsidRDefault="004249DD" w:rsidP="00347CE7">
      <w:pPr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49352C">
        <w:rPr>
          <w:rFonts w:eastAsiaTheme="minorEastAsia"/>
          <w:b/>
          <w:bCs/>
          <w:sz w:val="24"/>
          <w:szCs w:val="24"/>
        </w:rPr>
        <w:t>Rendements théoriques et pratiques</w:t>
      </w:r>
    </w:p>
    <w:p w14:paraId="6453C44A" w14:textId="77777777" w:rsidR="004249DD" w:rsidRPr="0049352C" w:rsidRDefault="004249DD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14:paraId="69043FE1" w14:textId="77777777" w:rsidR="005B17D5" w:rsidRPr="0049352C" w:rsidRDefault="005B17D5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14:paraId="2BB46E7D" w14:textId="73423264" w:rsidR="005B17D5" w:rsidRPr="0049352C" w:rsidRDefault="005C4FB4" w:rsidP="00347CE7">
      <w:pPr>
        <w:overflowPunct/>
        <w:jc w:val="both"/>
        <w:textAlignment w:val="auto"/>
        <w:rPr>
          <w:rFonts w:eastAsiaTheme="minorEastAsia"/>
          <w:bCs/>
          <w:sz w:val="24"/>
          <w:szCs w:val="24"/>
        </w:rPr>
      </w:pPr>
      <w:r w:rsidRPr="0049352C">
        <w:rPr>
          <w:rFonts w:eastAsiaTheme="minorEastAsia"/>
          <w:bCs/>
          <w:sz w:val="24"/>
          <w:szCs w:val="24"/>
        </w:rPr>
        <w:t>I</w:t>
      </w:r>
      <w:r w:rsidR="005B17D5" w:rsidRPr="0049352C">
        <w:rPr>
          <w:rFonts w:eastAsiaTheme="minorEastAsia"/>
          <w:bCs/>
          <w:sz w:val="24"/>
          <w:szCs w:val="24"/>
        </w:rPr>
        <w:t>/</w:t>
      </w:r>
      <w:r w:rsidRPr="0049352C">
        <w:rPr>
          <w:rFonts w:eastAsiaTheme="minorEastAsia"/>
          <w:bCs/>
          <w:sz w:val="24"/>
          <w:szCs w:val="24"/>
        </w:rPr>
        <w:t xml:space="preserve"> </w:t>
      </w:r>
      <w:r w:rsidR="00347CE7">
        <w:rPr>
          <w:rFonts w:eastAsiaTheme="minorEastAsia"/>
          <w:bCs/>
          <w:sz w:val="24"/>
          <w:szCs w:val="24"/>
        </w:rPr>
        <w:t>Les r</w:t>
      </w:r>
      <w:r w:rsidR="00AB1EAF" w:rsidRPr="0049352C">
        <w:rPr>
          <w:rFonts w:eastAsiaTheme="minorEastAsia"/>
          <w:bCs/>
          <w:sz w:val="24"/>
          <w:szCs w:val="24"/>
        </w:rPr>
        <w:t>e</w:t>
      </w:r>
      <w:r w:rsidR="005B17D5" w:rsidRPr="0049352C">
        <w:rPr>
          <w:rFonts w:eastAsiaTheme="minorEastAsia"/>
          <w:bCs/>
          <w:sz w:val="24"/>
          <w:szCs w:val="24"/>
        </w:rPr>
        <w:t>ndements théoriques et pratiques</w:t>
      </w:r>
    </w:p>
    <w:p w14:paraId="1C50C528" w14:textId="77777777" w:rsidR="005B17D5" w:rsidRPr="0049352C" w:rsidRDefault="005B17D5" w:rsidP="00347CE7">
      <w:pPr>
        <w:overflowPunct/>
        <w:jc w:val="both"/>
        <w:textAlignment w:val="auto"/>
        <w:rPr>
          <w:rFonts w:eastAsiaTheme="minorEastAsia"/>
          <w:b/>
          <w:bCs/>
          <w:sz w:val="24"/>
          <w:szCs w:val="24"/>
          <w:u w:val="single"/>
        </w:rPr>
      </w:pPr>
    </w:p>
    <w:p w14:paraId="3C8AA86C" w14:textId="67EB25DC" w:rsidR="005B17D5" w:rsidRPr="00347CE7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347CE7">
        <w:rPr>
          <w:rFonts w:eastAsiaTheme="minorEastAsia"/>
          <w:sz w:val="24"/>
          <w:szCs w:val="24"/>
        </w:rPr>
        <w:t xml:space="preserve">a) </w:t>
      </w:r>
      <w:r w:rsidR="00347CE7" w:rsidRPr="00347CE7">
        <w:rPr>
          <w:rFonts w:eastAsiaTheme="minorEastAsia"/>
          <w:sz w:val="24"/>
          <w:szCs w:val="24"/>
        </w:rPr>
        <w:t>La p</w:t>
      </w:r>
      <w:r w:rsidRPr="00347CE7">
        <w:rPr>
          <w:rFonts w:eastAsiaTheme="minorEastAsia"/>
          <w:sz w:val="24"/>
          <w:szCs w:val="24"/>
        </w:rPr>
        <w:t>roduction d’électri</w:t>
      </w:r>
      <w:r w:rsidR="005B17D5" w:rsidRPr="00347CE7">
        <w:rPr>
          <w:rFonts w:eastAsiaTheme="minorEastAsia"/>
          <w:sz w:val="24"/>
          <w:szCs w:val="24"/>
        </w:rPr>
        <w:t>cité à partir de combustibles</w:t>
      </w:r>
    </w:p>
    <w:p w14:paraId="6F1FFDDE" w14:textId="4F309506" w:rsidR="00AB1EAF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Nous avons donné </w:t>
      </w:r>
      <w:r w:rsidR="00C51199" w:rsidRPr="0049352C">
        <w:rPr>
          <w:rFonts w:eastAsiaTheme="minorEastAsia"/>
          <w:sz w:val="24"/>
          <w:szCs w:val="24"/>
        </w:rPr>
        <w:t>précédemment</w:t>
      </w:r>
      <w:r w:rsidRPr="0049352C">
        <w:rPr>
          <w:rFonts w:eastAsiaTheme="minorEastAsia"/>
          <w:sz w:val="24"/>
          <w:szCs w:val="24"/>
        </w:rPr>
        <w:t xml:space="preserve"> les valeurs théoriques maximales des rendements de conversion de la chaleur en puissance mécanique ou électrique, qui corresp</w:t>
      </w:r>
      <w:r w:rsidR="00C51199" w:rsidRPr="0049352C">
        <w:rPr>
          <w:rFonts w:eastAsiaTheme="minorEastAsia"/>
          <w:sz w:val="24"/>
          <w:szCs w:val="24"/>
        </w:rPr>
        <w:t xml:space="preserve">ondent au rendement de Carnot. </w:t>
      </w:r>
      <w:r w:rsidRPr="0049352C">
        <w:rPr>
          <w:rFonts w:eastAsiaTheme="minorEastAsia"/>
          <w:sz w:val="24"/>
          <w:szCs w:val="24"/>
        </w:rPr>
        <w:t>Compte tenu des irréversibilités qui prennent place lors des conversions d'énergie, les rendements des transformations sont en pratique inférieurs aux rendements maximaux théoriques.</w:t>
      </w:r>
    </w:p>
    <w:p w14:paraId="15D1DBED" w14:textId="77777777" w:rsidR="00C51199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Par exemple, la production d’électricité à partir de combustibles se fait avec un rendement compris entre 32 et 42 %, excepté pour les cycles combinés, qui atteignent 60 %.  </w:t>
      </w:r>
    </w:p>
    <w:p w14:paraId="70735EC7" w14:textId="2EEED749" w:rsidR="005B17D5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Les moteurs à combustion interne ont des rendements maximaux compris entre 30 et 42 %.    </w:t>
      </w:r>
    </w:p>
    <w:p w14:paraId="6E9B48E2" w14:textId="77777777" w:rsidR="005B17D5" w:rsidRPr="0049352C" w:rsidRDefault="005B17D5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14:paraId="2E14474F" w14:textId="2093BBAF" w:rsidR="005B17D5" w:rsidRPr="00347CE7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347CE7">
        <w:rPr>
          <w:rFonts w:eastAsiaTheme="minorEastAsia"/>
          <w:sz w:val="24"/>
          <w:szCs w:val="24"/>
        </w:rPr>
        <w:t xml:space="preserve">b) </w:t>
      </w:r>
      <w:r w:rsidR="00347CE7" w:rsidRPr="00347CE7">
        <w:rPr>
          <w:rFonts w:eastAsiaTheme="minorEastAsia"/>
          <w:sz w:val="24"/>
          <w:szCs w:val="24"/>
        </w:rPr>
        <w:t>Les c</w:t>
      </w:r>
      <w:r w:rsidRPr="00347CE7">
        <w:rPr>
          <w:rFonts w:eastAsiaTheme="minorEastAsia"/>
          <w:sz w:val="24"/>
          <w:szCs w:val="24"/>
        </w:rPr>
        <w:t>onversions non s</w:t>
      </w:r>
      <w:r w:rsidR="005B17D5" w:rsidRPr="00347CE7">
        <w:rPr>
          <w:rFonts w:eastAsiaTheme="minorEastAsia"/>
          <w:sz w:val="24"/>
          <w:szCs w:val="24"/>
        </w:rPr>
        <w:t>oumises au rendement de Carnot</w:t>
      </w:r>
    </w:p>
    <w:p w14:paraId="281DCA57" w14:textId="77777777" w:rsidR="003B47ED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>Examinons maintenant des conversions non so</w:t>
      </w:r>
      <w:r w:rsidR="003B47ED" w:rsidRPr="0049352C">
        <w:rPr>
          <w:rFonts w:eastAsiaTheme="minorEastAsia"/>
          <w:sz w:val="24"/>
          <w:szCs w:val="24"/>
        </w:rPr>
        <w:t xml:space="preserve">umises au rendement de Carnot. </w:t>
      </w:r>
    </w:p>
    <w:p w14:paraId="79A3F2CC" w14:textId="77777777" w:rsidR="003B47ED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>La production d’électricité à partir de l’énergie hydrauliqu</w:t>
      </w:r>
      <w:r w:rsidR="003B47ED" w:rsidRPr="0049352C">
        <w:rPr>
          <w:rFonts w:eastAsiaTheme="minorEastAsia"/>
          <w:sz w:val="24"/>
          <w:szCs w:val="24"/>
        </w:rPr>
        <w:t xml:space="preserve">e a un rendement de 95 à 98 %. </w:t>
      </w:r>
    </w:p>
    <w:p w14:paraId="09976AD9" w14:textId="77777777" w:rsidR="003B47ED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Le chauffage solaire a un rendement de 30 à 50 %.  </w:t>
      </w:r>
    </w:p>
    <w:p w14:paraId="1ACBB9EA" w14:textId="77777777" w:rsidR="003B47ED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La photosynthèse a un rendement de 1 à 3 % au lieu de 6 % en théorie.  </w:t>
      </w:r>
    </w:p>
    <w:p w14:paraId="39A1F08F" w14:textId="14A7FA76" w:rsidR="005B17D5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La conversion photovoltaïque atteint jusqu’à 20 %, même si de nombreuses photopiles ont des rendements beaucoup plus faibles.    </w:t>
      </w:r>
    </w:p>
    <w:p w14:paraId="6BA3B05F" w14:textId="77777777" w:rsidR="005B17D5" w:rsidRPr="0049352C" w:rsidRDefault="005B17D5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14:paraId="28AA1F01" w14:textId="104751F4" w:rsidR="005B17D5" w:rsidRPr="0049352C" w:rsidRDefault="005C4FB4" w:rsidP="00347CE7">
      <w:pPr>
        <w:overflowPunct/>
        <w:jc w:val="both"/>
        <w:textAlignment w:val="auto"/>
        <w:rPr>
          <w:rFonts w:eastAsiaTheme="minorEastAsia"/>
          <w:bCs/>
          <w:sz w:val="24"/>
          <w:szCs w:val="24"/>
        </w:rPr>
      </w:pPr>
      <w:r w:rsidRPr="0049352C">
        <w:rPr>
          <w:rFonts w:eastAsiaTheme="minorEastAsia"/>
          <w:bCs/>
          <w:sz w:val="24"/>
          <w:szCs w:val="24"/>
        </w:rPr>
        <w:t>II</w:t>
      </w:r>
      <w:r w:rsidR="005B17D5" w:rsidRPr="0049352C">
        <w:rPr>
          <w:rFonts w:eastAsiaTheme="minorEastAsia"/>
          <w:bCs/>
          <w:sz w:val="24"/>
          <w:szCs w:val="24"/>
        </w:rPr>
        <w:t xml:space="preserve">/ </w:t>
      </w:r>
      <w:r w:rsidR="00347CE7">
        <w:rPr>
          <w:rFonts w:eastAsiaTheme="minorEastAsia"/>
          <w:bCs/>
          <w:sz w:val="24"/>
          <w:szCs w:val="24"/>
        </w:rPr>
        <w:t>L</w:t>
      </w:r>
      <w:bookmarkStart w:id="0" w:name="_GoBack"/>
      <w:bookmarkEnd w:id="0"/>
      <w:r w:rsidR="00347CE7">
        <w:rPr>
          <w:rFonts w:eastAsiaTheme="minorEastAsia"/>
          <w:bCs/>
          <w:sz w:val="24"/>
          <w:szCs w:val="24"/>
        </w:rPr>
        <w:t>es u</w:t>
      </w:r>
      <w:r w:rsidR="00AB1EAF" w:rsidRPr="0049352C">
        <w:rPr>
          <w:rFonts w:eastAsiaTheme="minorEastAsia"/>
          <w:bCs/>
          <w:sz w:val="24"/>
          <w:szCs w:val="24"/>
        </w:rPr>
        <w:t>nités et équivalences énergétiques</w:t>
      </w:r>
    </w:p>
    <w:p w14:paraId="7F2FAE04" w14:textId="77777777" w:rsidR="005B17D5" w:rsidRPr="0049352C" w:rsidRDefault="005B17D5" w:rsidP="00347CE7">
      <w:pPr>
        <w:overflowPunct/>
        <w:jc w:val="both"/>
        <w:textAlignment w:val="auto"/>
        <w:rPr>
          <w:rFonts w:eastAsiaTheme="minorEastAsia"/>
          <w:b/>
          <w:bCs/>
          <w:sz w:val="24"/>
          <w:szCs w:val="24"/>
          <w:u w:val="single"/>
        </w:rPr>
      </w:pPr>
    </w:p>
    <w:p w14:paraId="470E789B" w14:textId="1A898D8F" w:rsidR="008E5868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>La multiplicité des sources d’énergie et des usages a pour conséquence que de nombreuses unités sont utilisées pour quantifier les énergies mises en jeu.</w:t>
      </w:r>
      <w:r w:rsidR="008E5868" w:rsidRPr="0049352C">
        <w:rPr>
          <w:rFonts w:eastAsiaTheme="minorEastAsia"/>
          <w:sz w:val="24"/>
          <w:szCs w:val="24"/>
        </w:rPr>
        <w:t xml:space="preserve"> </w:t>
      </w:r>
      <w:r w:rsidRPr="0049352C">
        <w:rPr>
          <w:rFonts w:eastAsiaTheme="minorEastAsia"/>
          <w:sz w:val="24"/>
          <w:szCs w:val="24"/>
        </w:rPr>
        <w:t>Elles dépendent des situations et des quantit</w:t>
      </w:r>
      <w:r w:rsidR="008E5868" w:rsidRPr="0049352C">
        <w:rPr>
          <w:rFonts w:eastAsiaTheme="minorEastAsia"/>
          <w:sz w:val="24"/>
          <w:szCs w:val="24"/>
        </w:rPr>
        <w:t xml:space="preserve">és qu’elles servent à mesurer. </w:t>
      </w:r>
    </w:p>
    <w:p w14:paraId="36EA0B73" w14:textId="1F08C7AF" w:rsidR="008E5868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>L'unité officielle du système international</w:t>
      </w:r>
      <w:r w:rsidR="008E5868" w:rsidRPr="0049352C">
        <w:rPr>
          <w:rFonts w:eastAsiaTheme="minorEastAsia"/>
          <w:sz w:val="24"/>
          <w:szCs w:val="24"/>
        </w:rPr>
        <w:t xml:space="preserve">, le système </w:t>
      </w:r>
      <w:r w:rsidRPr="0049352C">
        <w:rPr>
          <w:rFonts w:eastAsiaTheme="minorEastAsia"/>
          <w:sz w:val="24"/>
          <w:szCs w:val="24"/>
        </w:rPr>
        <w:t>SI</w:t>
      </w:r>
      <w:r w:rsidR="008E5868" w:rsidRPr="0049352C">
        <w:rPr>
          <w:rFonts w:eastAsiaTheme="minorEastAsia"/>
          <w:sz w:val="24"/>
          <w:szCs w:val="24"/>
        </w:rPr>
        <w:t xml:space="preserve">, </w:t>
      </w:r>
      <w:r w:rsidRPr="0049352C">
        <w:rPr>
          <w:rFonts w:eastAsiaTheme="minorEastAsia"/>
          <w:sz w:val="24"/>
          <w:szCs w:val="24"/>
        </w:rPr>
        <w:t>est le Joule</w:t>
      </w:r>
      <w:r w:rsidR="008E5868" w:rsidRPr="0049352C">
        <w:rPr>
          <w:rFonts w:eastAsiaTheme="minorEastAsia"/>
          <w:sz w:val="24"/>
          <w:szCs w:val="24"/>
        </w:rPr>
        <w:t xml:space="preserve">. </w:t>
      </w:r>
    </w:p>
    <w:p w14:paraId="7374E2B6" w14:textId="2DDD506A" w:rsidR="005B17D5" w:rsidRPr="0049352C" w:rsidRDefault="008E5868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1 Joule est </w:t>
      </w:r>
      <w:r w:rsidR="00AB1EAF" w:rsidRPr="0049352C">
        <w:rPr>
          <w:rFonts w:eastAsiaTheme="minorEastAsia"/>
          <w:sz w:val="24"/>
          <w:szCs w:val="24"/>
        </w:rPr>
        <w:t>égal au travail pr</w:t>
      </w:r>
      <w:r w:rsidRPr="0049352C">
        <w:rPr>
          <w:rFonts w:eastAsiaTheme="minorEastAsia"/>
          <w:sz w:val="24"/>
          <w:szCs w:val="24"/>
        </w:rPr>
        <w:t xml:space="preserve">oduit par une force de 1 Newton, </w:t>
      </w:r>
      <w:r w:rsidR="00AB1EAF" w:rsidRPr="0049352C">
        <w:rPr>
          <w:rFonts w:eastAsiaTheme="minorEastAsia"/>
          <w:sz w:val="24"/>
          <w:szCs w:val="24"/>
        </w:rPr>
        <w:t xml:space="preserve">dont le point d'application se déplace de 1 m dans la direction de la force.  Au Joule, unité d'énergie, correspond le Watt, unité de puissance : une puissance de 1 W mise en jeu pendant 1 seconde libère une énergie de 1 Joule.  En pratique, on utilise aussi beaucoup le </w:t>
      </w:r>
      <w:proofErr w:type="spellStart"/>
      <w:r w:rsidR="00AB1EAF" w:rsidRPr="0049352C">
        <w:rPr>
          <w:rFonts w:eastAsiaTheme="minorEastAsia"/>
          <w:sz w:val="24"/>
          <w:szCs w:val="24"/>
        </w:rPr>
        <w:t>kilowatt-heure</w:t>
      </w:r>
      <w:proofErr w:type="spellEnd"/>
      <w:r w:rsidR="00AB1EAF" w:rsidRPr="0049352C">
        <w:rPr>
          <w:rFonts w:eastAsiaTheme="minorEastAsia"/>
          <w:sz w:val="24"/>
          <w:szCs w:val="24"/>
        </w:rPr>
        <w:t xml:space="preserve"> (kWh), qui représente l'énergie libérée pendant 1 heure par un appareil de puissance 1 kW.</w:t>
      </w:r>
      <w:r w:rsidRPr="0049352C">
        <w:rPr>
          <w:rFonts w:eastAsiaTheme="minorEastAsia"/>
          <w:sz w:val="24"/>
          <w:szCs w:val="24"/>
        </w:rPr>
        <w:t xml:space="preserve"> Le </w:t>
      </w:r>
      <w:proofErr w:type="spellStart"/>
      <w:r w:rsidRPr="0049352C">
        <w:rPr>
          <w:rFonts w:eastAsiaTheme="minorEastAsia"/>
          <w:sz w:val="24"/>
          <w:szCs w:val="24"/>
        </w:rPr>
        <w:t>kilowatt-heure</w:t>
      </w:r>
      <w:proofErr w:type="spellEnd"/>
      <w:r w:rsidRPr="0049352C">
        <w:rPr>
          <w:rFonts w:eastAsiaTheme="minorEastAsia"/>
          <w:sz w:val="24"/>
          <w:szCs w:val="24"/>
        </w:rPr>
        <w:t xml:space="preserve"> est l’unité qui apparaît sur votre facture d’électricité. </w:t>
      </w:r>
    </w:p>
    <w:p w14:paraId="5023F9B4" w14:textId="77777777" w:rsidR="008E5868" w:rsidRPr="0049352C" w:rsidRDefault="008E5868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 </w:t>
      </w:r>
    </w:p>
    <w:p w14:paraId="096E1919" w14:textId="0F2F4C94" w:rsidR="00AB1EAF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>L'importance du pétrole dans les bilans énergétiques de nombreux pays explique que l'on exprime fréquemment les quantités d'énergie en les ramenant à leur équivalent pétrole.</w:t>
      </w:r>
    </w:p>
    <w:p w14:paraId="5FC596D7" w14:textId="7F7B8EF6" w:rsidR="00AB1EAF" w:rsidRPr="0049352C" w:rsidRDefault="00AB1EAF" w:rsidP="00347CE7">
      <w:pPr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49352C">
        <w:rPr>
          <w:rFonts w:eastAsiaTheme="minorEastAsia"/>
          <w:sz w:val="24"/>
          <w:szCs w:val="24"/>
        </w:rPr>
        <w:t xml:space="preserve">On parle ainsi de tonnes équivalent pétrole (tep), de </w:t>
      </w:r>
      <w:proofErr w:type="gramStart"/>
      <w:r w:rsidRPr="0049352C">
        <w:rPr>
          <w:rFonts w:eastAsiaTheme="minorEastAsia"/>
          <w:sz w:val="24"/>
          <w:szCs w:val="24"/>
        </w:rPr>
        <w:t>kilogrammes équivalent</w:t>
      </w:r>
      <w:proofErr w:type="gramEnd"/>
      <w:r w:rsidRPr="0049352C">
        <w:rPr>
          <w:rFonts w:eastAsiaTheme="minorEastAsia"/>
          <w:sz w:val="24"/>
          <w:szCs w:val="24"/>
        </w:rPr>
        <w:t xml:space="preserve"> pétrole (</w:t>
      </w:r>
      <w:proofErr w:type="spellStart"/>
      <w:r w:rsidRPr="0049352C">
        <w:rPr>
          <w:rFonts w:eastAsiaTheme="minorEastAsia"/>
          <w:sz w:val="24"/>
          <w:szCs w:val="24"/>
        </w:rPr>
        <w:t>kep</w:t>
      </w:r>
      <w:proofErr w:type="spellEnd"/>
      <w:r w:rsidRPr="0049352C">
        <w:rPr>
          <w:rFonts w:eastAsiaTheme="minorEastAsia"/>
          <w:sz w:val="24"/>
          <w:szCs w:val="24"/>
        </w:rPr>
        <w:t>), ou de ba</w:t>
      </w:r>
      <w:r w:rsidR="008E5868" w:rsidRPr="0049352C">
        <w:rPr>
          <w:rFonts w:eastAsiaTheme="minorEastAsia"/>
          <w:sz w:val="24"/>
          <w:szCs w:val="24"/>
        </w:rPr>
        <w:t>rils équivalent pétrole (</w:t>
      </w:r>
      <w:proofErr w:type="spellStart"/>
      <w:r w:rsidR="008E5868" w:rsidRPr="0049352C">
        <w:rPr>
          <w:rFonts w:eastAsiaTheme="minorEastAsia"/>
          <w:sz w:val="24"/>
          <w:szCs w:val="24"/>
        </w:rPr>
        <w:t>bep</w:t>
      </w:r>
      <w:proofErr w:type="spellEnd"/>
      <w:r w:rsidR="008E5868" w:rsidRPr="0049352C">
        <w:rPr>
          <w:rFonts w:eastAsiaTheme="minorEastAsia"/>
          <w:sz w:val="24"/>
          <w:szCs w:val="24"/>
        </w:rPr>
        <w:t xml:space="preserve">). </w:t>
      </w:r>
      <w:r w:rsidRPr="0049352C">
        <w:rPr>
          <w:rFonts w:eastAsiaTheme="minorEastAsia"/>
          <w:sz w:val="24"/>
          <w:szCs w:val="24"/>
        </w:rPr>
        <w:t>Des équivalences existent entre toutes ces unités.</w:t>
      </w:r>
    </w:p>
    <w:p w14:paraId="2BCDF0D9" w14:textId="77777777" w:rsidR="00477721" w:rsidRPr="0049352C" w:rsidRDefault="00477721" w:rsidP="00347CE7">
      <w:pPr>
        <w:jc w:val="both"/>
        <w:rPr>
          <w:sz w:val="24"/>
          <w:szCs w:val="24"/>
        </w:rPr>
      </w:pPr>
    </w:p>
    <w:sectPr w:rsidR="00477721" w:rsidRPr="0049352C" w:rsidSect="00356A0C">
      <w:footnotePr>
        <w:pos w:val="sectEnd"/>
      </w:footnotePr>
      <w:endnotePr>
        <w:numFmt w:val="decimal"/>
        <w:numStart w:val="0"/>
      </w:endnotePr>
      <w:pgSz w:w="12240" w:h="15840"/>
      <w:pgMar w:top="1418" w:right="1588" w:bottom="1418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9EBC28"/>
    <w:lvl w:ilvl="0">
      <w:numFmt w:val="decimal"/>
      <w:lvlText w:val="*"/>
      <w:lvlJc w:val="left"/>
    </w:lvl>
  </w:abstractNum>
  <w:abstractNum w:abstractNumId="1">
    <w:nsid w:val="02872A5B"/>
    <w:multiLevelType w:val="hybridMultilevel"/>
    <w:tmpl w:val="6BD06816"/>
    <w:lvl w:ilvl="0" w:tplc="233895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6B3B"/>
    <w:multiLevelType w:val="singleLevel"/>
    <w:tmpl w:val="20D259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9C3468"/>
    <w:multiLevelType w:val="hybridMultilevel"/>
    <w:tmpl w:val="DC3EB89C"/>
    <w:lvl w:ilvl="0" w:tplc="B85C30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3264"/>
    <w:multiLevelType w:val="hybridMultilevel"/>
    <w:tmpl w:val="0F98C0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Times" w:hAnsi="Times" w:cs="Times" w:hint="default"/>
          <w:sz w:val="14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0"/>
    <w:rsid w:val="00074F96"/>
    <w:rsid w:val="00125330"/>
    <w:rsid w:val="002155A8"/>
    <w:rsid w:val="002E1671"/>
    <w:rsid w:val="00347CE7"/>
    <w:rsid w:val="00356A0C"/>
    <w:rsid w:val="003B47ED"/>
    <w:rsid w:val="003D1365"/>
    <w:rsid w:val="004249DD"/>
    <w:rsid w:val="00444420"/>
    <w:rsid w:val="00477721"/>
    <w:rsid w:val="0049352C"/>
    <w:rsid w:val="004C5148"/>
    <w:rsid w:val="00507DC1"/>
    <w:rsid w:val="005B17D5"/>
    <w:rsid w:val="005C4FB4"/>
    <w:rsid w:val="0060331E"/>
    <w:rsid w:val="00613A0B"/>
    <w:rsid w:val="00677B67"/>
    <w:rsid w:val="006A1F21"/>
    <w:rsid w:val="006E69EC"/>
    <w:rsid w:val="007E3492"/>
    <w:rsid w:val="008A442C"/>
    <w:rsid w:val="008A52C7"/>
    <w:rsid w:val="008E5868"/>
    <w:rsid w:val="009E2A20"/>
    <w:rsid w:val="00AB1EAF"/>
    <w:rsid w:val="00C51199"/>
    <w:rsid w:val="00E908C0"/>
    <w:rsid w:val="00EC394F"/>
    <w:rsid w:val="00EF19BD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E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E908C0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08C0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epuces">
    <w:name w:val="List Bullet"/>
    <w:basedOn w:val="Normal"/>
    <w:autoRedefine/>
    <w:semiHidden/>
    <w:rsid w:val="00E908C0"/>
    <w:pPr>
      <w:widowControl w:val="0"/>
      <w:numPr>
        <w:numId w:val="1"/>
      </w:numPr>
      <w:overflowPunct/>
      <w:autoSpaceDE/>
      <w:autoSpaceDN/>
      <w:adjustRightInd/>
      <w:spacing w:before="60" w:line="240" w:lineRule="atLeast"/>
      <w:ind w:left="357" w:hanging="357"/>
      <w:textAlignment w:val="auto"/>
    </w:pPr>
    <w:rPr>
      <w:rFonts w:ascii="Times" w:hAnsi="Times"/>
      <w:snapToGrid w:val="0"/>
    </w:rPr>
  </w:style>
  <w:style w:type="paragraph" w:styleId="Paragraphedeliste">
    <w:name w:val="List Paragraph"/>
    <w:basedOn w:val="Normal"/>
    <w:uiPriority w:val="34"/>
    <w:qFormat/>
    <w:rsid w:val="0044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E908C0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08C0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epuces">
    <w:name w:val="List Bullet"/>
    <w:basedOn w:val="Normal"/>
    <w:autoRedefine/>
    <w:semiHidden/>
    <w:rsid w:val="00E908C0"/>
    <w:pPr>
      <w:widowControl w:val="0"/>
      <w:numPr>
        <w:numId w:val="1"/>
      </w:numPr>
      <w:overflowPunct/>
      <w:autoSpaceDE/>
      <w:autoSpaceDN/>
      <w:adjustRightInd/>
      <w:spacing w:before="60" w:line="240" w:lineRule="atLeast"/>
      <w:ind w:left="357" w:hanging="357"/>
      <w:textAlignment w:val="auto"/>
    </w:pPr>
    <w:rPr>
      <w:rFonts w:ascii="Times" w:hAnsi="Times"/>
      <w:snapToGrid w:val="0"/>
    </w:rPr>
  </w:style>
  <w:style w:type="paragraph" w:styleId="Paragraphedeliste">
    <w:name w:val="List Paragraph"/>
    <w:basedOn w:val="Normal"/>
    <w:uiPriority w:val="34"/>
    <w:qFormat/>
    <w:rsid w:val="0044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Lana</cp:lastModifiedBy>
  <cp:revision>2</cp:revision>
  <dcterms:created xsi:type="dcterms:W3CDTF">2015-06-15T15:41:00Z</dcterms:created>
  <dcterms:modified xsi:type="dcterms:W3CDTF">2015-06-15T15:41:00Z</dcterms:modified>
</cp:coreProperties>
</file>